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LIMITED PARTNERSHIP AGREEMENT</w:t>
      </w:r>
    </w:p>
    <w:p>
      <w:pPr>
        <w:pStyle w:val="Subtitle"/>
      </w:pPr>
      <w:r>
        <w:t>New Zealand</w:t>
      </w:r>
    </w:p>
    <w:p>
      <w:pPr>
        <w:keepLines w:val="0"/>
      </w:pPr>
      <w:r>
        <w:t>Date: [date]. Proposed or registered name: [name] Limited Partnership (Partnership). Registration number, if registered: [number]. Registered office and address for service: [New Zealand physical addresses].</w:t>
      </w:r>
    </w:p>
    <w:p>
      <w:pPr>
        <w:keepLines w:val="0"/>
      </w:pPr>
      <w:r>
        <w:t>Parties: the persons identified in Schedule 1, which forms part of this agreement (each a partner). Schedule 1 identifies the single general partner and each limited partner.</w:t>
      </w:r>
    </w:p>
    <w:p>
      <w:pPr>
        <w:pStyle w:val="Heading1"/>
      </w:pPr>
      <w:r>
        <w:t>1. Business and term</w:t>
      </w:r>
    </w:p>
    <w:p>
      <w:pPr>
        <w:keepLines w:val="0"/>
      </w:pPr>
      <w:r>
        <w:t>The partners agree to conduct [specific business] through the Partnership under the Limited Partnerships Act 2008 (Act). Activities are restricted to that business and reasonably incidental activities unless all partners agree otherwise in writing. The Partnership comes into existence only on registration and continues until lawfully deregistered. The general partner will arrange registration and required filings.</w:t>
      </w:r>
    </w:p>
    <w:p>
      <w:pPr>
        <w:pStyle w:val="Heading1"/>
      </w:pPr>
      <w:r>
        <w:t>2. Capital and returns</w:t>
      </w:r>
    </w:p>
    <w:p>
      <w:pPr>
        <w:keepLines w:val="0"/>
      </w:pPr>
      <w:r>
        <w:t>Each partner must contribute the cash amount in Schedule 1 by its due date. No additional contribution is required without that partner's written agreement. Profits and losses are allocated in the Schedule 1 proportions. Distributions are made in those proportions when authorised by the general partner, subject to the Act's solvency requirements and a reasonable reserve for liabilities. No partner may demand a distribution that would breach the Act. The general partner must record the required solvency assessment before authorising a distribution.</w:t>
      </w:r>
    </w:p>
    <w:p>
      <w:pPr>
        <w:pStyle w:val="Heading1"/>
      </w:pPr>
      <w:r>
        <w:t>3. Management and conflicts</w:t>
      </w:r>
    </w:p>
    <w:p>
      <w:pPr>
        <w:keepLines w:val="0"/>
      </w:pPr>
      <w:r>
        <w:t>The single general partner identified in Schedule 1 manages and binds the Partnership and must comply with its statutory and fiduciary duties. Limited partners must not manage or bind it; they may exercise rights within the Act's safe harbours. The general partner receives no management fee under this agreement but may recover reasonable documented Partnership expenses.</w:t>
      </w:r>
    </w:p>
    <w:p>
      <w:pPr>
        <w:keepLines w:val="0"/>
      </w:pPr>
      <w:r>
        <w:t>The Partnership has this conflict policy: a partner must disclose an actual or potential conflict promptly; a conflicted transaction requires the prior written approval of all disinterested partners and must be on fair terms. If none are disinterested, it requires every partner's written approval after full disclosure. A general partner may compete with the Partnership only with every other partner's prior written consent following disclosure of the proposed activity. These consents do not excuse a breach of a non-excludable duty.</w:t>
      </w:r>
    </w:p>
    <w:p>
      <w:pPr>
        <w:pStyle w:val="Heading1"/>
      </w:pPr>
      <w:r>
        <w:t>4. Meetings and decisions</w:t>
      </w:r>
    </w:p>
    <w:p>
      <w:pPr>
        <w:keepLines w:val="0"/>
      </w:pPr>
      <w:r>
        <w:t>The general partner must call a meeting at least annually and whenever a partner requests one in writing. For meeting notices under this clause, a working day is a day other than a Saturday, Sunday or nationwide New Zealand public holiday. Give all partners at least ten working days' notice stating the business, time and place or remote access details; all partners may waive that period. All partners form the quorum. Each partner has one vote on matters this agreement reserves to partners. Those matters require unanimity, except conflict approvals under clause 3. Ordinary management decisions remain with the general partner. Meetings may be held remotely with simultaneous participation. Record decisions and circulate the record to all partners. A written resolution signed by all partners has the same effect. This clause does not authorise a limited partner to take part in management contrary to the Act.</w:t>
      </w:r>
    </w:p>
    <w:p>
      <w:pPr>
        <w:pStyle w:val="Heading1"/>
      </w:pPr>
      <w:r>
        <w:t>5. Transfers, entry and exit</w:t>
      </w:r>
    </w:p>
    <w:p>
      <w:pPr>
        <w:keepLines w:val="0"/>
      </w:pPr>
      <w:r>
        <w:t>A partner may transfer or encumber its interest, change partner status, or withdraw only with all other partners' written consent. A new partner must have every existing partner's written consent and sign an accession accepting this agreement and an updated Schedule 1. No partner may be expelled under this agreement. A consenting exit must specify the effective date, recipient of the interest and settlement amount in writing. It does not discharge accrued liabilities or third-party rights. The required general and limited partner roles must be maintained; statutory cessation and terminating events prevail. The general partner must make all required notices and register updates.</w:t>
      </w:r>
    </w:p>
    <w:p>
      <w:pPr>
        <w:pStyle w:val="Heading1"/>
      </w:pPr>
      <w:r>
        <w:t>6. Records</w:t>
      </w:r>
    </w:p>
    <w:p>
      <w:pPr>
        <w:keepLines w:val="0"/>
      </w:pPr>
      <w:r>
        <w:t>The general partner must maintain the Partnership's accounts, partner and contribution records, statutory records and filings, and allow each partner reasonable access to them. It must prepare and provide financial statements, and obtain any audit, required by the Act. Partnership money must be kept in an account in its own name.</w:t>
      </w:r>
    </w:p>
    <w:p>
      <w:pPr>
        <w:pStyle w:val="Heading1"/>
      </w:pPr>
      <w:r>
        <w:t>7. Termination and winding up</w:t>
      </w:r>
    </w:p>
    <w:p>
      <w:pPr>
        <w:keepLines w:val="0"/>
      </w:pPr>
      <w:r>
        <w:t>A unanimous written decision to wind up, or any terminating event under section 86 of the Act, triggers winding up, subject to any continuation or cure permitted by the Act. The general partner must stop new business except as needed for a lawful winding up and arrange liquidation where required. Pay creditors and winding-up costs according to statutory priorities, then return capital to the extent available, then divide remaining surplus in the Schedule 1 proportions. If capital cannot be returned in full, allocate the shortfall in proportion to unreturned contributions. Apply the Act's procedures for liquidation and deregistration.</w:t>
      </w:r>
    </w:p>
    <w:p>
      <w:pPr>
        <w:pStyle w:val="Heading1"/>
      </w:pPr>
      <w:r>
        <w:t>8. Governing law and changes</w:t>
      </w:r>
    </w:p>
    <w:p>
      <w:pPr>
        <w:keepLines w:val="0"/>
      </w:pPr>
      <w:r>
        <w:t>New Zealand law applies and New Zealand courts have jurisdiction, subject to mandatory statutory procedures. Amendments require a written instrument signed by every partner and, after registration, by an authorised general partner for the Partnership. Nothing limits liability imposed by the Act.</w:t>
      </w:r>
    </w:p>
    <w:p>
      <w:pPr>
        <w:pStyle w:val="Heading1"/>
      </w:pPr>
      <w:r>
        <w:t>SCHEDULE 1: PARTNERS</w:t>
      </w:r>
    </w:p>
    <w:p>
      <w:pPr>
        <w:keepLines w:val="0"/>
      </w:pPr>
      <w:r>
        <w:t>For each partner record: [full legal name; address; entity registration number if applicable; general OR limited partner; cash contribution in New Zealand dollars (NZD); due date; profit/loss/distribution percentage; email]. Percentages must total 100%. Identify exactly one general partner and at least one different limited partner.</w:t>
      </w:r>
    </w:p>
    <w:p>
      <w:pPr>
        <w:pStyle w:val="Heading1"/>
      </w:pPr>
      <w:r>
        <w:t>SIGNATURES</w:t>
      </w:r>
    </w:p>
    <w:p>
      <w:pPr>
        <w:keepNext/>
        <w:keepLines w:val="0"/>
      </w:pPr>
      <w:r>
        <w:t>Each partner: [legal name], acting through [authorised signatory and role, if applicable].</w:t>
      </w:r>
    </w:p>
    <w:p>
      <w:pPr>
        <w:keepNext/>
        <w:keepLines w:val="0"/>
      </w:pPr>
      <w:r>
        <w:t>Signature: [signature]. Date: [date]. Repeat for every partner.</w:t>
      </w:r>
    </w:p>
    <w:p>
      <w:pPr>
        <w:keepLines w:val="0"/>
      </w:pPr>
      <w:r>
        <w:t>If already registered, for the Partnership by its authorised general partner: [name, signatory, signature, date].</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00" w:after="120" w:line="259" w:lineRule="auto"/>
      <w:outlineLvl w:val="0"/>
    </w:pPr>
    <w:rPr>
      <w:rFonts w:asciiTheme="majorHAnsi" w:eastAsiaTheme="majorEastAsia" w:hAnsiTheme="majorHAnsi" w:cstheme="majorBidi" w:ascii="Calibri" w:hAnsi="Calibri"/>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20" w:line="259" w:lineRule="auto"/>
      <w:contextualSpacing/>
    </w:pPr>
    <w:rPr>
      <w:rFonts w:asciiTheme="majorHAnsi" w:eastAsiaTheme="majorEastAsia" w:hAnsiTheme="majorHAnsi" w:cstheme="majorBidi" w:ascii="Calibri" w:hAnsi="Calibri"/>
      <w:b/>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widowControl/>
      <w:numPr>
        <w:ilvl w:val="1"/>
      </w:numPr>
      <w:spacing w:after="120" w:line="259" w:lineRule="auto"/>
    </w:pPr>
    <w:rPr>
      <w:rFonts w:asciiTheme="majorHAnsi" w:eastAsiaTheme="majorEastAsia" w:hAnsiTheme="majorHAnsi" w:cstheme="majorBidi" w:ascii="Calibri" w:hAnsi="Calibri"/>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Limited Partnership Agreement</dc:title>
</cp:coreProperties>
</file>