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SLUMP SALE AGREEMENT</w:t>
      </w:r>
    </w:p>
    <w:p>
      <w:pPr>
        <w:pStyle w:val="Subtitle"/>
      </w:pPr>
      <w:r>
        <w:t>India</w:t>
      </w:r>
    </w:p>
    <w:p>
      <w:pPr>
        <w:keepLines w:val="0"/>
      </w:pPr>
      <w:r>
        <w:t>Date: [date]. Place of execution: [city and State/Union Territory].</w:t>
      </w:r>
    </w:p>
    <w:p>
      <w:pPr>
        <w:keepLines w:val="0"/>
      </w:pPr>
      <w:r>
        <w:t>Seller: [full legal name, entity type and registration number, registered address and email] (Seller).</w:t>
      </w:r>
    </w:p>
    <w:p>
      <w:pPr>
        <w:keepLines w:val="0"/>
      </w:pPr>
      <w:r>
        <w:t>Buyer: [full legal name, entity type and registration number, registered address and email] (Buyer).</w:t>
      </w:r>
    </w:p>
    <w:p>
      <w:pPr>
        <w:keepLines w:val="0"/>
      </w:pPr>
      <w:r>
        <w:t>Completion means the simultaneous payment and deliveries required by clause 4. Schedules 1 and 2 form part of this agreement.</w:t>
      </w:r>
    </w:p>
    <w:p>
      <w:pPr>
        <w:pStyle w:val="Heading1"/>
      </w:pPr>
      <w:r>
        <w:t>1. Business sold</w:t>
      </w:r>
    </w:p>
    <w:p>
      <w:pPr>
        <w:keepLines w:val="0"/>
      </w:pPr>
      <w:r>
        <w:t>The Seller agrees to sell and the Buyer agrees to acquire the operating undertaking described in Schedule 1 (Business) as a going concern at Completion, for one lump-sum price. The Business includes all assets, rights, goodwill, records, contracts and liabilities relating exclusively to it, except the expressly identified exclusions in Schedule 1. No exclusion may prevent the Business from operating independently as a going concern. This is an undertaking transfer, not a sale of the Seller's shares or separately priced assets.</w:t>
      </w:r>
    </w:p>
    <w:p>
      <w:pPr>
        <w:pStyle w:val="Heading1"/>
      </w:pPr>
      <w:r>
        <w:t>2. Price</w:t>
      </w:r>
    </w:p>
    <w:p>
      <w:pPr>
        <w:keepLines w:val="0"/>
      </w:pPr>
      <w:r>
        <w:t>The price is Indian rupees (INR) [amount in figures and words], paid by bank transfer to the Seller's nominated account against the Completion deliveries in clause 4, less only withholding required by law. The Buyer must remit any withholding and provide the prescribed evidence. The price is not allocated to individual assets or liabilities. A valuation solely required for stamp duty, registration or a similar statutory purpose does not allocate the negotiated price. Taxable consideration and tax classification remain subject to applicable law.</w:t>
      </w:r>
    </w:p>
    <w:p>
      <w:pPr>
        <w:pStyle w:val="Heading1"/>
      </w:pPr>
      <w:r>
        <w:t>3. Conditions and conduct before Completion</w:t>
      </w:r>
    </w:p>
    <w:p>
      <w:pPr>
        <w:keepLines w:val="0"/>
      </w:pPr>
      <w:r>
        <w:t>Completion is conditional on the corporate and regulatory approvals, creditor releases, contract and premises consents, employee arrangements and transfer documents identified in Schedule 2 being obtained or completed. A mandatory requirement cannot be waived. Each party must use reasonable efforts to satisfy the conditions assigned to it and disclose any impediment promptly. Until Completion the Seller must operate the Business in the ordinary course, preserve its assets and relationships, and obtain the Buyer's written consent before disposing of a material asset or incurring an unusual liability.</w:t>
      </w:r>
    </w:p>
    <w:p>
      <w:pPr>
        <w:pStyle w:val="Heading1"/>
      </w:pPr>
      <w:r>
        <w:t>4. Completion</w:t>
      </w:r>
    </w:p>
    <w:p>
      <w:pPr>
        <w:keepLines w:val="0"/>
      </w:pPr>
      <w:r>
        <w:t>Completion is scheduled for [date and time] at [place or agreed remote process], or another date agreed in writing. Simultaneously with payment, the Seller must deliver possession and control of the transferable Business assets, business records and keys/access credentials; executed assignments and novations; evidence of releases and approvals; and the employee arrangements specified in Schedule 2. The Buyer assumes the included Business liabilities from Completion. Title and risk pass at Completion to the extent legally transferable, with any separately required instrument, delivery, registration or consent completed at that time. Neither party must complete a fragmented transfer that fails to deliver the agreed going concern.</w:t>
      </w:r>
    </w:p>
    <w:p>
      <w:pPr>
        <w:keepLines w:val="0"/>
      </w:pPr>
      <w:r>
        <w:t>An asset, contract, licence or liability requiring third-party consent does not transfer merely because this agreement is signed. Obtain that consent or a lawful alternative accepted in writing before Completion. This agreement does not itself convey immovable property or replace a required registered instrument.</w:t>
      </w:r>
    </w:p>
    <w:p>
      <w:pPr>
        <w:pStyle w:val="Heading1"/>
      </w:pPr>
      <w:r>
        <w:t>5. Employees and liabilities</w:t>
      </w:r>
    </w:p>
    <w:p>
      <w:pPr>
        <w:keepLines w:val="0"/>
      </w:pPr>
      <w:r>
        <w:t>Before Completion, the Buyer must offer the listed employees continuing employment from Completion without interruption, on terms no less favourable in any respect, recognising prior service and accrued statutory benefits. Obtain required employee consents and provide required notices. The Buyer assumes responsibility for future statutory retrenchment compensation calculated on uninterrupted service where this is required to preserve the transfer exception. The Seller remains responsible for wages, contributions and other employment dues accrued before Completion, except identified accrued obligations funded and assumed by the Buyer in Schedule 1. As between the parties, the Seller bears any statutory notice pay or compensation triggered by the transfer, including where an employee transfers but the statutory exception is not satisfied. The responsible employer must obtain any required permission and satisfy all remaining employment obligations.</w:t>
      </w:r>
    </w:p>
    <w:p>
      <w:pPr>
        <w:keepLines w:val="0"/>
      </w:pPr>
      <w:r>
        <w:t>As between the parties, the Seller bears excluded liabilities and the Buyer bears included liabilities. If either pays a liability allocated to the other, the responsible party must reimburse the amount reasonably paid. This allocation does not release either party from liability imposed by law or bind a creditor, employee or authority without the required consent.</w:t>
      </w:r>
    </w:p>
    <w:p>
      <w:pPr>
        <w:pStyle w:val="Heading1"/>
      </w:pPr>
      <w:r>
        <w:t>6. Authority and title</w:t>
      </w:r>
    </w:p>
    <w:p>
      <w:pPr>
        <w:keepLines w:val="0"/>
      </w:pPr>
      <w:r>
        <w:t>Each party confirms its capacity and authority to enter and perform this agreement. The Seller confirms that it owns or has transferable rights in the included assets, has disclosed encumbrances and material Business liabilities in Schedule 1, and will provide the agreed releases at Completion. The Buyer confirms it has funds to pay the price.</w:t>
      </w:r>
    </w:p>
    <w:p>
      <w:pPr>
        <w:pStyle w:val="Heading1"/>
      </w:pPr>
      <w:r>
        <w:t>7. Taxes and costs</w:t>
      </w:r>
    </w:p>
    <w:p>
      <w:pPr>
        <w:keepLines w:val="0"/>
      </w:pPr>
      <w:r>
        <w:t>The Seller bears its income tax on the transfer and must obtain and file required accountant reports and tax returns. The Buyer bears stamp duty and registration fees on the transfer documents. Each party bears its own advisers' costs. The parties intend a transfer of a going concern, but no tax exemption is warranted. Any goods and services tax (GST) lawfully payable on the transfer is additional to the price and must be paid by the Buyer against the legally required document. The parties must cooperate on valuation, reporting, registrations and lawful transfer of input tax credit. Statutory joint or successor liabilities are unaffected.</w:t>
      </w:r>
    </w:p>
    <w:p>
      <w:pPr>
        <w:pStyle w:val="Heading1"/>
      </w:pPr>
      <w:r>
        <w:t>8. Failure to complete and law</w:t>
      </w:r>
    </w:p>
    <w:p>
      <w:pPr>
        <w:keepLines w:val="0"/>
      </w:pPr>
      <w:r>
        <w:t>If conditions remain unmet on [long-stop date], either party not responsible for that failure may terminate by written notice. Before Completion, an innocent party may also terminate for a material breach not cured within fifteen days after written notice. On termination return any purchase money received within seven days; accrued rights and legal remedies survive. Indian law applies. Disputes go to the competent court or statutory tribunal. Changes require both parties' written agreement.</w:t>
      </w:r>
    </w:p>
    <w:p>
      <w:pPr>
        <w:pStyle w:val="Heading1"/>
      </w:pPr>
      <w:r>
        <w:t>SCHEDULE 1: BUSINESS AND ALLOCATION</w:t>
      </w:r>
    </w:p>
    <w:p>
      <w:pPr>
        <w:keepLines w:val="0"/>
      </w:pPr>
      <w:r>
        <w:t>Business: [name, activity, locations and description establishing an independently operable undertaking].</w:t>
      </w:r>
    </w:p>
    <w:p>
      <w:pPr>
        <w:keepLines w:val="0"/>
      </w:pPr>
      <w:r>
        <w:t>Included assets and rights: [identifiable equipment, inventory, receivables, goodwill, intellectual property, contracts, premises rights, records and licences; attach detailed lists without assigning negotiated item prices].</w:t>
      </w:r>
    </w:p>
    <w:p>
      <w:pPr>
        <w:keepLines w:val="0"/>
      </w:pPr>
      <w:r>
        <w:t>Included liabilities: [creditor/obligation, amount or ascertainable basis, and accrued employee obligations assumed with funding].</w:t>
      </w:r>
    </w:p>
    <w:p>
      <w:pPr>
        <w:keepLines w:val="0"/>
      </w:pPr>
      <w:r>
        <w:t>Exclusions: [specific assets and liabilities, or none; explain operational continuity where relevant].</w:t>
      </w:r>
    </w:p>
    <w:p>
      <w:pPr>
        <w:keepLines w:val="0"/>
      </w:pPr>
      <w:r>
        <w:t>Encumbrances and required releases: [specific creditor/security and release, or none].</w:t>
      </w:r>
    </w:p>
    <w:p>
      <w:pPr>
        <w:keepLines w:val="0"/>
      </w:pPr>
      <w:r>
        <w:t>Employees: [name/identifier, role, service start date, current terms, accrued benefits, funding and proposed continuity arrangements].</w:t>
      </w:r>
    </w:p>
    <w:p>
      <w:pPr>
        <w:pStyle w:val="Heading1"/>
      </w:pPr>
      <w:r>
        <w:t>SCHEDULE 2: COMPLETION REQUIREMENTS</w:t>
      </w:r>
    </w:p>
    <w:p>
      <w:pPr>
        <w:keepLines w:val="0"/>
      </w:pPr>
      <w:r>
        <w:t>For each required approval, consent, release, employee arrangement or conveyance/assignment/novation: [item; relevant authority or counterparty; responsible party; deadline; required evidence]. Include corporate approvals, competition/sector approvals where applicable, premises arrangements and instruments specific to intellectual property. State 'not applicable' only after checking.</w:t>
      </w:r>
    </w:p>
    <w:p>
      <w:pPr>
        <w:pStyle w:val="Heading1"/>
      </w:pPr>
      <w:r>
        <w:t>SIGNATURES</w:t>
      </w:r>
    </w:p>
    <w:p>
      <w:pPr>
        <w:keepLines w:val="0"/>
      </w:pPr>
      <w:r>
        <w:t>Seller: [authorised signatory name and capacity, signature and date].</w:t>
      </w:r>
    </w:p>
    <w:p>
      <w:pPr>
        <w:keepLines w:val="0"/>
      </w:pPr>
      <w:r>
        <w:t>Buyer: [authorised signatory name and capacity, signature and date].</w:t>
      </w:r>
    </w:p>
    <w:p>
      <w:pPr>
        <w:keepLines w:val="0"/>
      </w:pPr>
      <w:r>
        <w:t>Witness to each signature: [name, address, signature and date].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9" w:lineRule="auto"/>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9" w:lineRule="auto"/>
      <w:contextualSpacing/>
    </w:pPr>
    <w:rPr>
      <w:rFonts w:asciiTheme="majorHAnsi" w:eastAsiaTheme="majorEastAsia" w:hAnsiTheme="majorHAnsi" w:cstheme="majorBidi" w:ascii="Calibri" w:hAnsi="Calibr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12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Slump Sale Agreement</dc:title>
</cp:coreProperties>
</file>