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HYPOTHECATION AGREEMENT</w:t>
      </w:r>
    </w:p>
    <w:p>
      <w:pPr>
        <w:pStyle w:val="Subtitle"/>
      </w:pPr>
      <w:r>
        <w:t>India</w:t>
      </w:r>
    </w:p>
    <w:p>
      <w:pPr>
        <w:keepLines w:val="0"/>
      </w:pPr>
      <w:r>
        <w:t>Date: [date]. Place of execution: [city and State/Union Territory].</w:t>
      </w:r>
    </w:p>
    <w:p>
      <w:pPr>
        <w:keepLines w:val="0"/>
      </w:pPr>
      <w:r>
        <w:t>Borrower: [full legal name, entity type and registration number, address and email] (Borrower).</w:t>
      </w:r>
    </w:p>
    <w:p>
      <w:pPr>
        <w:keepLines w:val="0"/>
      </w:pPr>
      <w:r>
        <w:t>Lender: [full legal name, entity type and registration number, address and email] (Lender).</w:t>
      </w:r>
    </w:p>
    <w:p>
      <w:pPr>
        <w:pStyle w:val="Heading1"/>
      </w:pPr>
      <w:r>
        <w:t>1. Secured debt</w:t>
      </w:r>
    </w:p>
    <w:p>
      <w:pPr>
        <w:keepLines w:val="0"/>
      </w:pPr>
      <w:r>
        <w:t>In consideration of the Lender making or continuing the facility under the signed loan agreement dated [date], reference [number] (Loan Agreement), the Borrower grants the security below. It secures principal up to Indian rupees (INR) [amount], interest at the rate and on the basis stated in the Loan Agreement, and lawful, reasonable enforcement expenses (Secured Debt). It does not secure unrelated debt. Attach the Loan Agreement or identify an executed copy held by both parties. Repayment dates, interest calculation and permitted acceleration are governed by that agreement; this agreement does not itself require an advance.</w:t>
      </w:r>
    </w:p>
    <w:p>
      <w:pPr>
        <w:pStyle w:val="Heading1"/>
      </w:pPr>
      <w:r>
        <w:t>2. Creation of security</w:t>
      </w:r>
    </w:p>
    <w:p>
      <w:pPr>
        <w:keepLines w:val="0"/>
      </w:pPr>
      <w:r>
        <w:t>The Borrower, as owner, hypothecates to the Lender the movable equipment specifically identified in Schedule 1 and its identifiable insurance and disposal proceeds (Assets) as continuing security for the Secured Debt. The Borrower retains possession; this is not a pledge or a transfer of ownership. The security covers only that equipment owned by the Borrower when this agreement is signed and those identifiable proceeds as they arise. It excludes land, fixtures forming part of land, third-party goods and future equipment. Priority remains subject to existing rights and applicable registration and insolvency law.</w:t>
      </w:r>
    </w:p>
    <w:p>
      <w:pPr>
        <w:pStyle w:val="Heading1"/>
      </w:pPr>
      <w:r>
        <w:t>3. Ownership and preservation</w:t>
      </w:r>
    </w:p>
    <w:p>
      <w:pPr>
        <w:keepLines w:val="0"/>
      </w:pPr>
      <w:r>
        <w:t>The Borrower confirms that it owns the Assets and that no security or third-party rights affect them except those disclosed in Schedule 1. It must obtain the releases or consents specified there. It may use the Assets in its ordinary business but must maintain them with reasonable care, pay related statutory dues, and keep the insurance specified in Schedule 1 in force. It must not dispose of, further encumber or move the Assets outside the stated locations without the Lender's written consent. It must promptly report material loss, damage or adverse claims and allow reasonable inspection on advance notice during business hours.</w:t>
      </w:r>
    </w:p>
    <w:p>
      <w:pPr>
        <w:pStyle w:val="Heading1"/>
      </w:pPr>
      <w:r>
        <w:t>4. Stamping and registration</w:t>
      </w:r>
    </w:p>
    <w:p>
      <w:pPr>
        <w:keepLines w:val="0"/>
      </w:pPr>
      <w:r>
        <w:t>The Borrower will pay applicable stamp duty and filing fees and sign and deliver documents needed to register, preserve and release this security. Each party must perform the filings legally assigned to it. For a company Borrower, register the charge with the Registrar of Companies within the statutory period. The Lender must make any required filing with the Central Registry of Securitisation Asset Reconstruction and Security Interest of India (CERSAI) and other applicable registration; the Borrower must cooperate. Neither this agreement nor filing alone warrants first priority or creates statutory enforcement rights for an ineligible lender.</w:t>
      </w:r>
    </w:p>
    <w:p>
      <w:pPr>
        <w:pStyle w:val="Heading1"/>
      </w:pPr>
      <w:r>
        <w:t>5. Default and enforcement</w:t>
      </w:r>
    </w:p>
    <w:p>
      <w:pPr>
        <w:keepLines w:val="0"/>
      </w:pPr>
      <w:r>
        <w:t>If an amount remains unpaid after its due date under the Loan Agreement, or the Borrower materially breaches this agreement and fails to remedy it within fifteen days after written notice where remediable, the Lender may enforce this security to recover the Secured Debt then lawfully due. Any acceleration must be authorised by the Loan Agreement and applicable law.</w:t>
      </w:r>
    </w:p>
    <w:p>
      <w:pPr>
        <w:keepLines w:val="0"/>
      </w:pPr>
      <w:r>
        <w:t>Enforcement is limited to lawful procedures, including any required notices, waiting periods, court or tribunal process and insolvency restrictions. Powers under the Securitisation and Reconstruction of Financial Assets and Enforcement of Security Interest Act, 2002 (SARFAESI Act) are available only where the lender, debt, security and registrations qualify; this agreement does not confer those powers independently. No force or unlawful repossession is authorised. Apply net realisation proceeds to reasonable lawful enforcement costs and Secured Debt, account to the Borrower, and return any surplus subject to superior rights. Any lawful shortfall remains payable under the Loan Agreement.</w:t>
      </w:r>
    </w:p>
    <w:p>
      <w:pPr>
        <w:pStyle w:val="Heading1"/>
      </w:pPr>
      <w:r>
        <w:t>6. Release and law</w:t>
      </w:r>
    </w:p>
    <w:p>
      <w:pPr>
        <w:keepLines w:val="0"/>
      </w:pPr>
      <w:r>
        <w:t>After the Secured Debt has been fully discharged and the secured facility terminated, the Lender must promptly release the Assets and complete or cooperate in required satisfaction filings. Indian law governs. Disputes go to the competent court or statutory tribunal; mandatory jurisdiction is unaffected. Changes require both parties' written agreement.</w:t>
      </w:r>
    </w:p>
    <w:p>
      <w:pPr>
        <w:keepLines w:val="0"/>
      </w:pPr>
      <w:r>
        <w:t>Schedule 1 forms part of this agreement.</w:t>
      </w:r>
    </w:p>
    <w:p>
      <w:pPr>
        <w:pStyle w:val="Heading1"/>
      </w:pPr>
      <w:r>
        <w:t>SCHEDULE 1: ASSETS AND EXISTING RIGHTS</w:t>
      </w:r>
    </w:p>
    <w:p>
      <w:pPr>
        <w:keepLines w:val="0"/>
      </w:pPr>
      <w:r>
        <w:t>For each item: [equipment description, make/model, serial or unique identifier, quantity, ownership evidence, physical location].</w:t>
      </w:r>
    </w:p>
    <w:p>
      <w:pPr>
        <w:keepLines w:val="0"/>
      </w:pPr>
      <w:r>
        <w:t>Existing security or third-party rights: [identify creditor, instrument, registration and priority, or state none].</w:t>
      </w:r>
    </w:p>
    <w:p>
      <w:pPr>
        <w:keepLines w:val="0"/>
      </w:pPr>
      <w:r>
        <w:t>Releases/consents required before the facility advance: [identify each and who obtains it, or state none].</w:t>
      </w:r>
    </w:p>
    <w:p>
      <w:pPr>
        <w:keepLines w:val="0"/>
      </w:pPr>
      <w:r>
        <w:t>Insurance: [insured risks, insured amount, policy/insurer and loss-payee arrangement, or expressly state none].</w:t>
      </w:r>
    </w:p>
    <w:p>
      <w:pPr>
        <w:pStyle w:val="Heading1"/>
      </w:pPr>
      <w:r>
        <w:t>SIGNATURES</w:t>
      </w:r>
    </w:p>
    <w:p>
      <w:pPr>
        <w:keepLines w:val="0"/>
      </w:pPr>
      <w:r>
        <w:t>Borrower: [authorised signatory, capacity, signature and date].</w:t>
      </w:r>
    </w:p>
    <w:p>
      <w:pPr>
        <w:keepLines w:val="0"/>
      </w:pPr>
      <w:r>
        <w:t>Lender: [authorised signatory, capacity, signature and date].</w:t>
      </w:r>
    </w:p>
    <w:p>
      <w:pPr>
        <w:keepLines w:val="0"/>
      </w:pPr>
      <w:r>
        <w:t>Witness to each signature: [name, address, signature and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Hypothecation Agreement</dc:title>
</cp:coreProperties>
</file>